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输注工作站</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20</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国药控股重庆南川</w:t>
      </w:r>
      <w:r>
        <w:rPr>
          <w:rFonts w:hint="eastAsia" w:ascii="宋体" w:hAnsi="宋体" w:eastAsia="宋体" w:cs="宋体"/>
          <w:color w:val="000000"/>
          <w:kern w:val="0"/>
          <w:sz w:val="28"/>
          <w:szCs w:val="28"/>
          <w:lang w:eastAsia="zh-CN"/>
        </w:rPr>
        <w:t>有限公司</w:t>
      </w:r>
      <w:r>
        <w:rPr>
          <w:rFonts w:hint="eastAsia" w:ascii="宋体" w:hAnsi="宋体" w:eastAsia="宋体" w:cs="宋体"/>
          <w:color w:val="000000"/>
          <w:kern w:val="0"/>
          <w:sz w:val="28"/>
          <w:szCs w:val="28"/>
          <w:lang w:val="en-US" w:eastAsia="zh-CN"/>
        </w:rPr>
        <w:t xml:space="preserve">     </w:t>
      </w:r>
      <w:bookmarkStart w:id="0" w:name="_GoBack"/>
      <w:bookmarkEnd w:id="0"/>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342000</w:t>
      </w:r>
      <w:r>
        <w:rPr>
          <w:rFonts w:hint="eastAsia" w:ascii="宋体" w:hAnsi="宋体" w:eastAsia="宋体" w:cs="宋体"/>
          <w:color w:val="000000"/>
          <w:kern w:val="0"/>
          <w:sz w:val="28"/>
          <w:szCs w:val="28"/>
        </w:rPr>
        <w:t>.00</w:t>
      </w:r>
    </w:p>
    <w:tbl>
      <w:tblPr>
        <w:tblStyle w:val="8"/>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6"/>
              <w:widowControl/>
              <w:spacing w:line="15" w:lineRule="atLeast"/>
              <w:jc w:val="center"/>
              <w:rPr>
                <w:rFonts w:hint="default" w:ascii="方正仿宋_GBK" w:hAnsi="宋体" w:eastAsia="方正仿宋_GBK" w:cs="宋体"/>
                <w:b/>
                <w:bCs/>
                <w:kern w:val="0"/>
                <w:sz w:val="28"/>
                <w:szCs w:val="28"/>
                <w:lang w:val="en-US" w:eastAsia="zh-CN" w:bidi="ar-SA"/>
              </w:rPr>
            </w:pPr>
            <w:r>
              <w:rPr>
                <w:rFonts w:hint="eastAsia" w:ascii="方正仿宋_GBK" w:hAnsi="方正仿宋_GBK" w:eastAsia="方正仿宋_GBK" w:cs="方正仿宋_GBK"/>
                <w:color w:val="000000"/>
                <w:sz w:val="32"/>
                <w:szCs w:val="32"/>
              </w:rPr>
              <w:t>多通道输注工作站</w:t>
            </w:r>
            <w:r>
              <w:rPr>
                <w:rFonts w:hint="eastAsia" w:ascii="方正仿宋_GBK" w:hAnsi="方正仿宋_GBK" w:eastAsia="方正仿宋_GBK" w:cs="方正仿宋_GBK"/>
                <w:color w:val="000000"/>
                <w:sz w:val="32"/>
                <w:szCs w:val="32"/>
                <w:lang w:val="en-US" w:eastAsia="zh-CN"/>
              </w:rPr>
              <w:t>(一拖三)</w:t>
            </w:r>
          </w:p>
        </w:tc>
        <w:tc>
          <w:tcPr>
            <w:tcW w:w="887"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6"/>
              <w:widowControl/>
              <w:spacing w:line="15" w:lineRule="atLeast"/>
              <w:jc w:val="center"/>
              <w:rPr>
                <w:rFonts w:hint="eastAsia" w:ascii="方正仿宋_GBK" w:hAnsi="宋体" w:eastAsia="方正仿宋_GBK" w:cs="宋体"/>
                <w:b/>
                <w:bCs/>
                <w:kern w:val="0"/>
                <w:sz w:val="28"/>
                <w:szCs w:val="28"/>
                <w:lang w:val="en-US" w:eastAsia="zh-CN" w:bidi="ar-SA"/>
              </w:rPr>
            </w:pPr>
            <w:r>
              <w:rPr>
                <w:rFonts w:hint="eastAsia" w:ascii="方正仿宋_GBK" w:hAnsi="方正仿宋_GBK" w:eastAsia="方正仿宋_GBK" w:cs="方正仿宋_GBK"/>
                <w:color w:val="000000"/>
                <w:sz w:val="32"/>
                <w:szCs w:val="32"/>
              </w:rPr>
              <w:t>多通道输注工作站</w:t>
            </w:r>
            <w:r>
              <w:rPr>
                <w:rFonts w:hint="eastAsia" w:ascii="方正仿宋_GBK" w:hAnsi="方正仿宋_GBK" w:eastAsia="方正仿宋_GBK" w:cs="方正仿宋_GBK"/>
                <w:color w:val="000000"/>
                <w:sz w:val="32"/>
                <w:szCs w:val="32"/>
                <w:lang w:val="en-US" w:eastAsia="zh-CN"/>
              </w:rPr>
              <w:t>(一拖四)</w:t>
            </w:r>
          </w:p>
        </w:tc>
        <w:tc>
          <w:tcPr>
            <w:tcW w:w="887"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6"/>
              <w:widowControl/>
              <w:spacing w:line="15" w:lineRule="atLeast"/>
              <w:jc w:val="center"/>
              <w:rPr>
                <w:rFonts w:hint="eastAsia" w:ascii="方正仿宋_GBK" w:hAnsi="方正仿宋_GBK" w:eastAsia="方正仿宋_GBK" w:cs="方正仿宋_GBK"/>
                <w:b/>
                <w:bCs/>
                <w:i w:val="0"/>
                <w:iCs w:val="0"/>
                <w:color w:val="000000"/>
                <w:spacing w:val="0"/>
                <w:kern w:val="0"/>
                <w:sz w:val="32"/>
                <w:szCs w:val="32"/>
                <w:vertAlign w:val="baseline"/>
                <w:lang w:val="en-US" w:eastAsia="zh-CN" w:bidi="ar-SA"/>
              </w:rPr>
            </w:pPr>
            <w:r>
              <w:rPr>
                <w:rFonts w:hint="eastAsia" w:ascii="方正仿宋_GBK" w:hAnsi="方正仿宋_GBK" w:eastAsia="方正仿宋_GBK" w:cs="方正仿宋_GBK"/>
                <w:color w:val="000000"/>
                <w:sz w:val="32"/>
                <w:szCs w:val="32"/>
              </w:rPr>
              <w:t>双通道注射泵</w:t>
            </w:r>
          </w:p>
        </w:tc>
        <w:tc>
          <w:tcPr>
            <w:tcW w:w="887"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6"/>
              <w:widowControl/>
              <w:spacing w:line="15" w:lineRule="atLeast"/>
              <w:jc w:val="center"/>
              <w:rPr>
                <w:rFonts w:hint="eastAsia" w:ascii="方正仿宋_GBK" w:hAnsi="方正仿宋_GBK" w:eastAsia="方正仿宋_GBK" w:cs="方正仿宋_GBK"/>
                <w:b/>
                <w:bCs/>
                <w:i w:val="0"/>
                <w:iCs w:val="0"/>
                <w:color w:val="000000"/>
                <w:spacing w:val="0"/>
                <w:kern w:val="0"/>
                <w:sz w:val="32"/>
                <w:szCs w:val="32"/>
                <w:vertAlign w:val="baseline"/>
                <w:lang w:val="en-US" w:eastAsia="zh-CN" w:bidi="ar-SA"/>
              </w:rPr>
            </w:pPr>
            <w:r>
              <w:rPr>
                <w:rFonts w:hint="eastAsia" w:ascii="方正仿宋_GBK" w:hAnsi="方正仿宋_GBK" w:eastAsia="方正仿宋_GBK" w:cs="方正仿宋_GBK"/>
                <w:color w:val="000000"/>
                <w:sz w:val="32"/>
                <w:szCs w:val="32"/>
              </w:rPr>
              <w:t>单通道注射泵</w:t>
            </w:r>
          </w:p>
        </w:tc>
        <w:tc>
          <w:tcPr>
            <w:tcW w:w="887"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eastAsia" w:ascii="方正仿宋_GBK" w:eastAsia="方正仿宋_GBK" w:hAnsiTheme="minorHAnsi" w:cstheme="minorBidi"/>
                <w:b/>
                <w:kern w:val="2"/>
                <w:sz w:val="28"/>
                <w:szCs w:val="28"/>
                <w:lang w:val="en-US" w:eastAsia="zh-CN" w:bidi="ar-SA"/>
              </w:rPr>
            </w:pPr>
            <w:r>
              <w:rPr>
                <w:rFonts w:hint="eastAsia" w:ascii="方正仿宋_GBK" w:eastAsia="方正仿宋_GBK"/>
                <w:b/>
                <w:sz w:val="28"/>
                <w:szCs w:val="28"/>
                <w:lang w:val="en-US" w:eastAsia="zh-CN"/>
              </w:rPr>
              <w:t>5</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杨勇、李洪宇、曹波</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28</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1570FF"/>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577A2F"/>
    <w:rsid w:val="03FC0BD2"/>
    <w:rsid w:val="04F56C4D"/>
    <w:rsid w:val="073F4A62"/>
    <w:rsid w:val="07C01E0B"/>
    <w:rsid w:val="07DF0992"/>
    <w:rsid w:val="08162BF2"/>
    <w:rsid w:val="0875427C"/>
    <w:rsid w:val="087E02B8"/>
    <w:rsid w:val="08BA0844"/>
    <w:rsid w:val="08DD2784"/>
    <w:rsid w:val="0AF56BCA"/>
    <w:rsid w:val="0AFD12F3"/>
    <w:rsid w:val="0B554854"/>
    <w:rsid w:val="0C6311F3"/>
    <w:rsid w:val="0C9B0DC4"/>
    <w:rsid w:val="0CC779D3"/>
    <w:rsid w:val="0D4155C5"/>
    <w:rsid w:val="0D5E7E27"/>
    <w:rsid w:val="0EAC6E81"/>
    <w:rsid w:val="0F5C3E92"/>
    <w:rsid w:val="0F8346BF"/>
    <w:rsid w:val="107240FA"/>
    <w:rsid w:val="10F1501F"/>
    <w:rsid w:val="11292A0B"/>
    <w:rsid w:val="11736644"/>
    <w:rsid w:val="11AD6755"/>
    <w:rsid w:val="11BD5413"/>
    <w:rsid w:val="11D73436"/>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9287A4C"/>
    <w:rsid w:val="1A534654"/>
    <w:rsid w:val="1B1E2EB4"/>
    <w:rsid w:val="1B4C61DF"/>
    <w:rsid w:val="1BBC447B"/>
    <w:rsid w:val="1C1B32A6"/>
    <w:rsid w:val="1D1125A5"/>
    <w:rsid w:val="1D352737"/>
    <w:rsid w:val="1D526E45"/>
    <w:rsid w:val="1DA31012"/>
    <w:rsid w:val="1E052E9C"/>
    <w:rsid w:val="1EE32E2E"/>
    <w:rsid w:val="1F731502"/>
    <w:rsid w:val="1F901EA7"/>
    <w:rsid w:val="1FC97167"/>
    <w:rsid w:val="20BD7CCA"/>
    <w:rsid w:val="20FE6082"/>
    <w:rsid w:val="2186530F"/>
    <w:rsid w:val="222608A0"/>
    <w:rsid w:val="22821CDC"/>
    <w:rsid w:val="235C0A1E"/>
    <w:rsid w:val="239C4A69"/>
    <w:rsid w:val="25195091"/>
    <w:rsid w:val="258609F4"/>
    <w:rsid w:val="260D6C8B"/>
    <w:rsid w:val="26C77AC6"/>
    <w:rsid w:val="274E4FC6"/>
    <w:rsid w:val="277A44D6"/>
    <w:rsid w:val="27B6660B"/>
    <w:rsid w:val="28A6098D"/>
    <w:rsid w:val="29211ABC"/>
    <w:rsid w:val="295344FA"/>
    <w:rsid w:val="2A6C0CEE"/>
    <w:rsid w:val="2A810D6A"/>
    <w:rsid w:val="2ACA2711"/>
    <w:rsid w:val="2AD00A9A"/>
    <w:rsid w:val="2BB051B4"/>
    <w:rsid w:val="2BC55A56"/>
    <w:rsid w:val="2BEC66B7"/>
    <w:rsid w:val="2CA23219"/>
    <w:rsid w:val="2D1C121E"/>
    <w:rsid w:val="2D3A48B4"/>
    <w:rsid w:val="2D6C5D01"/>
    <w:rsid w:val="2D8A43D9"/>
    <w:rsid w:val="2F123015"/>
    <w:rsid w:val="300318C5"/>
    <w:rsid w:val="302E54F0"/>
    <w:rsid w:val="30D047F9"/>
    <w:rsid w:val="30FF08C8"/>
    <w:rsid w:val="3115313A"/>
    <w:rsid w:val="312E4ECC"/>
    <w:rsid w:val="31FE167C"/>
    <w:rsid w:val="32A634EC"/>
    <w:rsid w:val="32BB0CB6"/>
    <w:rsid w:val="32E21717"/>
    <w:rsid w:val="339721A1"/>
    <w:rsid w:val="347E631A"/>
    <w:rsid w:val="354457B6"/>
    <w:rsid w:val="361444F1"/>
    <w:rsid w:val="377B3075"/>
    <w:rsid w:val="384D0E3E"/>
    <w:rsid w:val="39B34CB8"/>
    <w:rsid w:val="3A22173C"/>
    <w:rsid w:val="3A515A24"/>
    <w:rsid w:val="3A832C4C"/>
    <w:rsid w:val="3AA80604"/>
    <w:rsid w:val="3ACA2A9A"/>
    <w:rsid w:val="3B4D472E"/>
    <w:rsid w:val="3C386797"/>
    <w:rsid w:val="3C8A61A4"/>
    <w:rsid w:val="3CEB08CA"/>
    <w:rsid w:val="3D7678B4"/>
    <w:rsid w:val="3D895499"/>
    <w:rsid w:val="3D913562"/>
    <w:rsid w:val="3DDC47DD"/>
    <w:rsid w:val="3DFF52D4"/>
    <w:rsid w:val="3E126451"/>
    <w:rsid w:val="3E2E2B5F"/>
    <w:rsid w:val="3E3B1664"/>
    <w:rsid w:val="3F9A39F4"/>
    <w:rsid w:val="3FC21B96"/>
    <w:rsid w:val="3FCC262F"/>
    <w:rsid w:val="40DE2F6D"/>
    <w:rsid w:val="41320FEE"/>
    <w:rsid w:val="41981A23"/>
    <w:rsid w:val="42647C6D"/>
    <w:rsid w:val="42E03B9C"/>
    <w:rsid w:val="42FC76D0"/>
    <w:rsid w:val="43397FDC"/>
    <w:rsid w:val="434411B5"/>
    <w:rsid w:val="43C03CF2"/>
    <w:rsid w:val="44823C05"/>
    <w:rsid w:val="450E7246"/>
    <w:rsid w:val="452C43BD"/>
    <w:rsid w:val="45390767"/>
    <w:rsid w:val="45725A27"/>
    <w:rsid w:val="4574179F"/>
    <w:rsid w:val="460111C6"/>
    <w:rsid w:val="4732546E"/>
    <w:rsid w:val="48414A9C"/>
    <w:rsid w:val="4917723E"/>
    <w:rsid w:val="4999277B"/>
    <w:rsid w:val="49CF0298"/>
    <w:rsid w:val="4A1E7F2C"/>
    <w:rsid w:val="4B136CAC"/>
    <w:rsid w:val="4B2B0B52"/>
    <w:rsid w:val="4B5D6692"/>
    <w:rsid w:val="4B7778F3"/>
    <w:rsid w:val="4BA821A3"/>
    <w:rsid w:val="4BD56D10"/>
    <w:rsid w:val="4C191214"/>
    <w:rsid w:val="4DCB03CA"/>
    <w:rsid w:val="4DD76613"/>
    <w:rsid w:val="4F3D0E54"/>
    <w:rsid w:val="4F507FEC"/>
    <w:rsid w:val="4FE94B38"/>
    <w:rsid w:val="50454464"/>
    <w:rsid w:val="51002139"/>
    <w:rsid w:val="519C17EE"/>
    <w:rsid w:val="51FA74D0"/>
    <w:rsid w:val="524A5D2F"/>
    <w:rsid w:val="526F4404"/>
    <w:rsid w:val="52E032D7"/>
    <w:rsid w:val="53542C10"/>
    <w:rsid w:val="545A02A5"/>
    <w:rsid w:val="55932548"/>
    <w:rsid w:val="5608596C"/>
    <w:rsid w:val="5622725F"/>
    <w:rsid w:val="586216EB"/>
    <w:rsid w:val="588D420E"/>
    <w:rsid w:val="58903DD1"/>
    <w:rsid w:val="5A6C79E4"/>
    <w:rsid w:val="5A7C3CE7"/>
    <w:rsid w:val="5AF42E99"/>
    <w:rsid w:val="5B4377F2"/>
    <w:rsid w:val="5C5F68AD"/>
    <w:rsid w:val="5C606182"/>
    <w:rsid w:val="5C880946"/>
    <w:rsid w:val="5DB022D4"/>
    <w:rsid w:val="5E97065E"/>
    <w:rsid w:val="5F360F59"/>
    <w:rsid w:val="5FBB0B0B"/>
    <w:rsid w:val="60350B20"/>
    <w:rsid w:val="60912DAE"/>
    <w:rsid w:val="6100689F"/>
    <w:rsid w:val="612C11C4"/>
    <w:rsid w:val="61CD6D34"/>
    <w:rsid w:val="62523013"/>
    <w:rsid w:val="62BC2E20"/>
    <w:rsid w:val="62E573E1"/>
    <w:rsid w:val="634B193A"/>
    <w:rsid w:val="63951329"/>
    <w:rsid w:val="63A63014"/>
    <w:rsid w:val="63B8012E"/>
    <w:rsid w:val="64D65ECF"/>
    <w:rsid w:val="651B17E0"/>
    <w:rsid w:val="66012783"/>
    <w:rsid w:val="669A1A8A"/>
    <w:rsid w:val="676E4541"/>
    <w:rsid w:val="677B425E"/>
    <w:rsid w:val="6817003C"/>
    <w:rsid w:val="68B65AA7"/>
    <w:rsid w:val="6B301415"/>
    <w:rsid w:val="6B5C220A"/>
    <w:rsid w:val="6B795CE9"/>
    <w:rsid w:val="6BBF2EC5"/>
    <w:rsid w:val="6CA36342"/>
    <w:rsid w:val="6CBA368C"/>
    <w:rsid w:val="6D194857"/>
    <w:rsid w:val="6DDD5C78"/>
    <w:rsid w:val="6E873A42"/>
    <w:rsid w:val="707B1384"/>
    <w:rsid w:val="71BA7C8A"/>
    <w:rsid w:val="71C1726B"/>
    <w:rsid w:val="71F20FF1"/>
    <w:rsid w:val="724759C2"/>
    <w:rsid w:val="7251239D"/>
    <w:rsid w:val="729D3834"/>
    <w:rsid w:val="72D21CE3"/>
    <w:rsid w:val="72D42A0E"/>
    <w:rsid w:val="72E962FC"/>
    <w:rsid w:val="72FF629D"/>
    <w:rsid w:val="73B21634"/>
    <w:rsid w:val="73B22006"/>
    <w:rsid w:val="73C471E7"/>
    <w:rsid w:val="73D516A5"/>
    <w:rsid w:val="74327FF0"/>
    <w:rsid w:val="74E24DC3"/>
    <w:rsid w:val="76B178AE"/>
    <w:rsid w:val="77592B7B"/>
    <w:rsid w:val="779167F1"/>
    <w:rsid w:val="78491223"/>
    <w:rsid w:val="786313CF"/>
    <w:rsid w:val="78AA6237"/>
    <w:rsid w:val="78D635FC"/>
    <w:rsid w:val="7956473D"/>
    <w:rsid w:val="79E5778E"/>
    <w:rsid w:val="7A4B67FD"/>
    <w:rsid w:val="7A545120"/>
    <w:rsid w:val="7AB90B32"/>
    <w:rsid w:val="7ADA7CBB"/>
    <w:rsid w:val="7B611DC6"/>
    <w:rsid w:val="7B7E2FB6"/>
    <w:rsid w:val="7BFB3345"/>
    <w:rsid w:val="7C541718"/>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4">
    <w:name w:val="Body Text"/>
    <w:basedOn w:val="1"/>
    <w:next w:val="5"/>
    <w:qFormat/>
    <w:uiPriority w:val="0"/>
    <w:pPr>
      <w:snapToGrid w:val="0"/>
      <w:spacing w:line="540" w:lineRule="exact"/>
      <w:jc w:val="center"/>
    </w:pPr>
    <w:rPr>
      <w:b/>
      <w:sz w:val="44"/>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7">
    <w:name w:val="Body Text First Indent"/>
    <w:basedOn w:val="4"/>
    <w:next w:val="3"/>
    <w:qFormat/>
    <w:uiPriority w:val="0"/>
    <w:pPr>
      <w:adjustRightInd w:val="0"/>
      <w:spacing w:before="100" w:beforeAutospacing="1" w:line="275" w:lineRule="atLeast"/>
      <w:ind w:firstLine="420"/>
      <w:textAlignment w:val="baseline"/>
    </w:pPr>
    <w:rPr>
      <w:rFonts w:ascii="宋体" w:eastAsia="楷体_GB2312"/>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321</Words>
  <Characters>360</Characters>
  <Lines>3</Lines>
  <Paragraphs>1</Paragraphs>
  <TotalTime>1</TotalTime>
  <ScaleCrop>false</ScaleCrop>
  <LinksUpToDate>false</LinksUpToDate>
  <CharactersWithSpaces>408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2022-11-28T08:16:35Z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16215BAF396F4946B5CD4398A603D3D5</vt:lpwstr>
  </property>
</Properties>
</file>